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pPr>
      <w:r w:rsidDel="00000000" w:rsidR="00000000" w:rsidRPr="00000000">
        <w:rPr>
          <w:rFonts w:ascii="Montserrat" w:cs="Montserrat" w:eastAsia="Montserrat" w:hAnsi="Montserrat"/>
          <w:b w:val="1"/>
          <w:bCs w:val="1"/>
          <w:color w:val="000000"/>
          <w:sz w:val="21"/>
          <w:szCs w:val="21"/>
          <w:rtl w:val="0"/>
        </w:rPr>
        <w:t xml:space="preserve">Job Title: </w:t>
      </w:r>
      <w:r w:rsidDel="00000000" w:rsidR="00000000" w:rsidRPr="00000000">
        <w:rPr>
          <w:rtl w:val="0"/>
        </w:rPr>
        <w:t xml:space="preserve"> Deputy Chair, Board of Trustees</w:t>
      </w:r>
    </w:p>
    <w:p w:rsidR="00000000" w:rsidDel="00000000" w:rsidP="00000000" w:rsidRDefault="00000000" w:rsidRPr="00000000" w14:paraId="00000002">
      <w:pPr>
        <w:spacing w:after="0" w:before="0" w:lineRule="auto"/>
        <w:rPr>
          <w:rFonts w:ascii="Montserrat" w:cs="Montserrat" w:eastAsia="Montserrat" w:hAnsi="Montserrat"/>
          <w:color w:val="000000"/>
          <w:sz w:val="21"/>
          <w:szCs w:val="21"/>
        </w:rPr>
      </w:pPr>
      <w:r w:rsidDel="00000000" w:rsidR="00000000" w:rsidRPr="00000000">
        <w:rPr>
          <w:rFonts w:ascii="Montserrat" w:cs="Montserrat" w:eastAsia="Montserrat" w:hAnsi="Montserrat"/>
          <w:b w:val="1"/>
          <w:bCs w:val="1"/>
          <w:color w:val="000000"/>
          <w:sz w:val="21"/>
          <w:szCs w:val="21"/>
          <w:rtl w:val="0"/>
        </w:rPr>
        <w:t xml:space="preserve">Location: </w:t>
      </w:r>
      <w:r w:rsidDel="00000000" w:rsidR="00000000" w:rsidRPr="00000000">
        <w:rPr>
          <w:rtl w:val="0"/>
        </w:rPr>
        <w:t xml:space="preserve">Toothill, Swindon</w:t>
      </w:r>
      <w:r w:rsidDel="00000000" w:rsidR="00000000" w:rsidRPr="00000000">
        <w:rPr>
          <w:rtl w:val="0"/>
        </w:rPr>
      </w:r>
    </w:p>
    <w:p w:rsidR="00000000" w:rsidDel="00000000" w:rsidP="00000000" w:rsidRDefault="00000000" w:rsidRPr="00000000" w14:paraId="00000003">
      <w:pPr>
        <w:spacing w:after="0" w:before="0" w:lineRule="auto"/>
        <w:rPr>
          <w:rFonts w:ascii="Montserrat" w:cs="Montserrat" w:eastAsia="Montserrat" w:hAnsi="Montserrat"/>
          <w:b w:val="1"/>
          <w:bCs w:val="1"/>
          <w:color w:val="000000"/>
          <w:sz w:val="21"/>
          <w:szCs w:val="21"/>
        </w:rPr>
      </w:pPr>
      <w:r w:rsidDel="00000000" w:rsidR="00000000" w:rsidRPr="00000000">
        <w:rPr>
          <w:rFonts w:ascii="Montserrat" w:cs="Montserrat" w:eastAsia="Montserrat" w:hAnsi="Montserrat"/>
          <w:b w:val="1"/>
          <w:bCs w:val="1"/>
          <w:color w:val="000000"/>
          <w:sz w:val="21"/>
          <w:szCs w:val="21"/>
          <w:rtl w:val="0"/>
        </w:rPr>
        <w:t xml:space="preserve">Contract type:</w:t>
      </w:r>
      <w:r w:rsidDel="00000000" w:rsidR="00000000" w:rsidRPr="00000000">
        <w:rPr>
          <w:rFonts w:ascii="Montserrat" w:cs="Montserrat" w:eastAsia="Montserrat" w:hAnsi="Montserrat"/>
          <w:color w:val="000000"/>
          <w:sz w:val="21"/>
          <w:szCs w:val="21"/>
          <w:rtl w:val="0"/>
        </w:rPr>
        <w:t xml:space="preserve"> </w:t>
      </w:r>
      <w:r w:rsidDel="00000000" w:rsidR="00000000" w:rsidRPr="00000000">
        <w:rPr>
          <w:rtl w:val="0"/>
        </w:rPr>
        <w:t xml:space="preserve">Voluntary</w:t>
      </w:r>
      <w:r w:rsidDel="00000000" w:rsidR="00000000" w:rsidRPr="00000000">
        <w:rPr>
          <w:rtl w:val="0"/>
        </w:rPr>
      </w:r>
    </w:p>
    <w:p w:rsidR="00000000" w:rsidDel="00000000" w:rsidP="00000000" w:rsidRDefault="00000000" w:rsidRPr="00000000" w14:paraId="00000004">
      <w:pPr>
        <w:spacing w:after="0" w:before="0" w:lineRule="auto"/>
        <w:rPr/>
      </w:pPr>
      <w:r w:rsidDel="00000000" w:rsidR="00000000" w:rsidRPr="00000000">
        <w:rPr>
          <w:rFonts w:ascii="Montserrat" w:cs="Montserrat" w:eastAsia="Montserrat" w:hAnsi="Montserrat"/>
          <w:b w:val="1"/>
          <w:bCs w:val="1"/>
          <w:color w:val="000000"/>
          <w:sz w:val="21"/>
          <w:szCs w:val="21"/>
          <w:rtl w:val="0"/>
        </w:rPr>
        <w:t xml:space="preserve">Hours per week:</w:t>
      </w:r>
      <w:r w:rsidDel="00000000" w:rsidR="00000000" w:rsidRPr="00000000">
        <w:rPr>
          <w:b w:val="1"/>
          <w:bCs w:val="1"/>
          <w:rtl w:val="0"/>
        </w:rPr>
        <w:t xml:space="preserve"> </w:t>
      </w:r>
      <w:r w:rsidDel="00000000" w:rsidR="00000000" w:rsidRPr="00000000">
        <w:rPr>
          <w:rtl w:val="0"/>
        </w:rPr>
        <w:t xml:space="preserve">Approx. 10-12 hours per month (flexible, including evening Board meetings and representing the Hub at community events)</w:t>
      </w:r>
    </w:p>
    <w:p w:rsidR="00000000" w:rsidDel="00000000" w:rsidP="00000000" w:rsidRDefault="00000000" w:rsidRPr="00000000" w14:paraId="00000005">
      <w:pPr>
        <w:spacing w:after="0" w:before="0" w:lineRule="auto"/>
        <w:rPr>
          <w:rFonts w:ascii="Montserrat" w:cs="Montserrat" w:eastAsia="Montserrat" w:hAnsi="Montserrat"/>
          <w:color w:val="000000"/>
          <w:sz w:val="21"/>
          <w:szCs w:val="21"/>
        </w:rPr>
      </w:pPr>
      <w:r w:rsidDel="00000000" w:rsidR="00000000" w:rsidRPr="00000000">
        <w:rPr>
          <w:rFonts w:ascii="Montserrat" w:cs="Montserrat" w:eastAsia="Montserrat" w:hAnsi="Montserrat"/>
          <w:b w:val="1"/>
          <w:bCs w:val="1"/>
          <w:color w:val="000000"/>
          <w:sz w:val="21"/>
          <w:szCs w:val="21"/>
          <w:rtl w:val="0"/>
        </w:rPr>
        <w:t xml:space="preserve">Reporting to: </w:t>
      </w:r>
      <w:r w:rsidDel="00000000" w:rsidR="00000000" w:rsidRPr="00000000">
        <w:rPr>
          <w:rtl w:val="0"/>
        </w:rPr>
        <w:t xml:space="preserve">Chair of the Board</w:t>
      </w:r>
      <w:r w:rsidDel="00000000" w:rsidR="00000000" w:rsidRPr="00000000">
        <w:rPr>
          <w:rtl w:val="0"/>
        </w:rPr>
      </w:r>
    </w:p>
    <w:p w:rsidR="00000000" w:rsidDel="00000000" w:rsidP="00000000" w:rsidRDefault="00000000" w:rsidRPr="00000000" w14:paraId="00000006">
      <w:pPr>
        <w:spacing w:after="200" w:before="240" w:lineRule="auto"/>
        <w:rPr>
          <w:rFonts w:ascii="Montserrat" w:cs="Montserrat" w:eastAsia="Montserrat" w:hAnsi="Montserrat"/>
          <w:b w:val="1"/>
          <w:bCs w:val="1"/>
          <w:color w:val="000000"/>
          <w:sz w:val="21"/>
          <w:szCs w:val="21"/>
        </w:rPr>
      </w:pPr>
      <w:r w:rsidDel="00000000" w:rsidR="00000000" w:rsidRPr="00000000">
        <w:rPr>
          <w:rFonts w:ascii="Montserrat" w:cs="Montserrat" w:eastAsia="Montserrat" w:hAnsi="Montserrat"/>
          <w:b w:val="1"/>
          <w:bCs w:val="1"/>
          <w:color w:val="000000"/>
          <w:sz w:val="21"/>
          <w:szCs w:val="21"/>
          <w:rtl w:val="0"/>
        </w:rPr>
        <w:t xml:space="preserve">Job Purpose:</w:t>
      </w:r>
    </w:p>
    <w:p w:rsidR="00000000" w:rsidDel="00000000" w:rsidP="00000000" w:rsidRDefault="00000000" w:rsidRPr="00000000" w14:paraId="00000007">
      <w:pPr>
        <w:rPr/>
      </w:pPr>
      <w:r w:rsidDel="00000000" w:rsidR="00000000" w:rsidRPr="00000000">
        <w:rPr>
          <w:rtl w:val="0"/>
        </w:rPr>
        <w:t xml:space="preserve">The Hub @ Toothill CIC is a community-led, non-profit organisation established as the legacy of the Toothill Big Local partnership and the £1 million lottery grant awarded to its residents. Our purpose is to place the community at the heart of everything we do by transforming the former Village Tavern, the historic "Toot and Whistle", into a vibrant, inclusive family hub. By reclaiming this central landmark, we are creating a safe and accessible space where residents of all ages can connect through social gatherings, arts, culture, and wellbeing support. Our mission is to work with the community, not just for it, co-creating services and opportunities that strengthen local resilience and pride. Guided by a "Ladder of Community Participation," we prioritise shared leadership and active listening to ensure our strategy reflects what matters most to Toothill. As we move toward our defined roadmap for 2026, we are seeking Board members with integrity and ambition to oversee this once-in-a-generation revitalisation project, ensuring that all surplus income continues to be reinvested into the neighbourhood for generations to come.</w:t>
      </w:r>
    </w:p>
    <w:p w:rsidR="00000000" w:rsidDel="00000000" w:rsidP="00000000" w:rsidRDefault="00000000" w:rsidRPr="00000000" w14:paraId="00000008">
      <w:pPr>
        <w:rPr/>
      </w:pPr>
      <w:r w:rsidDel="00000000" w:rsidR="00000000" w:rsidRPr="00000000">
        <w:rPr>
          <w:rtl w:val="0"/>
        </w:rPr>
        <w:t xml:space="preserve">The Deputy Chair supports the Chair in providing strategic leadership to the Board of Trustees. This role is vital for ensuring leadership continuity, assisting with Board governance, and acting as a key partner to the Chair in driving the Hub’s mission forward.</w:t>
      </w:r>
    </w:p>
    <w:p w:rsidR="00000000" w:rsidDel="00000000" w:rsidP="00000000" w:rsidRDefault="00000000" w:rsidRPr="00000000" w14:paraId="00000009">
      <w:pPr>
        <w:rPr>
          <w:rFonts w:ascii="Montserrat" w:cs="Montserrat" w:eastAsia="Montserrat" w:hAnsi="Montserrat"/>
          <w:b w:val="1"/>
          <w:bCs w:val="1"/>
          <w:color w:val="000000"/>
          <w:sz w:val="21"/>
          <w:szCs w:val="21"/>
        </w:rPr>
      </w:pPr>
      <w:r w:rsidDel="00000000" w:rsidR="00000000" w:rsidRPr="00000000">
        <w:rPr>
          <w:rFonts w:ascii="Montserrat" w:cs="Montserrat" w:eastAsia="Montserrat" w:hAnsi="Montserrat"/>
          <w:b w:val="1"/>
          <w:bCs w:val="1"/>
          <w:color w:val="000000"/>
          <w:sz w:val="21"/>
          <w:szCs w:val="21"/>
          <w:rtl w:val="0"/>
        </w:rPr>
        <w:t xml:space="preserve">Key Responsibilities:</w:t>
      </w:r>
    </w:p>
    <w:p w:rsidR="00000000" w:rsidDel="00000000" w:rsidP="00000000" w:rsidRDefault="00000000" w:rsidRPr="00000000" w14:paraId="0000000A">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Leadership Support &amp; Continuity:</w:t>
      </w:r>
      <w:r w:rsidDel="00000000" w:rsidR="00000000" w:rsidRPr="00000000">
        <w:rPr>
          <w:rtl w:val="0"/>
        </w:rPr>
        <w:t xml:space="preserve"> Work closely with the Chair to provide strategic leadership to the Board and stand in for the Chair in their absence to lead Board meetings and community events.</w:t>
      </w:r>
    </w:p>
    <w:p w:rsidR="00000000" w:rsidDel="00000000" w:rsidP="00000000" w:rsidRDefault="00000000" w:rsidRPr="00000000" w14:paraId="0000000B">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Transition to Strategic Focus:</w:t>
      </w:r>
      <w:r w:rsidDel="00000000" w:rsidR="00000000" w:rsidRPr="00000000">
        <w:rPr>
          <w:rtl w:val="0"/>
        </w:rPr>
        <w:t xml:space="preserve"> Support the Board in shifting from its current operational delivery focus toward long-term strategic oversight as the Hub enters its next phase.</w:t>
      </w:r>
    </w:p>
    <w:p w:rsidR="00000000" w:rsidDel="00000000" w:rsidP="00000000" w:rsidRDefault="00000000" w:rsidRPr="00000000" w14:paraId="0000000C">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Meeting Management:</w:t>
      </w:r>
      <w:r w:rsidDel="00000000" w:rsidR="00000000" w:rsidRPr="00000000">
        <w:rPr>
          <w:rtl w:val="0"/>
        </w:rPr>
        <w:t xml:space="preserve"> Take an active role in managing Board agendas and ensuring meeting timeframes are respected to maintain efficient and focused governance.</w:t>
      </w:r>
    </w:p>
    <w:p w:rsidR="00000000" w:rsidDel="00000000" w:rsidP="00000000" w:rsidRDefault="00000000" w:rsidRPr="00000000" w14:paraId="0000000D">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Decision-Making Support:</w:t>
      </w:r>
      <w:r w:rsidDel="00000000" w:rsidR="00000000" w:rsidRPr="00000000">
        <w:rPr>
          <w:rtl w:val="0"/>
        </w:rPr>
        <w:t xml:space="preserve"> Facilitate effective and transparent decision-making during meetings, including calling for formal votes when required to ensure clarity and accountability.</w:t>
      </w:r>
    </w:p>
    <w:p w:rsidR="00000000" w:rsidDel="00000000" w:rsidP="00000000" w:rsidRDefault="00000000" w:rsidRPr="00000000" w14:paraId="0000000E">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Internal Governance:</w:t>
      </w:r>
      <w:r w:rsidDel="00000000" w:rsidR="00000000" w:rsidRPr="00000000">
        <w:rPr>
          <w:rtl w:val="0"/>
        </w:rPr>
        <w:t xml:space="preserve"> Assist the Chair in ensuring the Board functions effectively, observing high standards of transparency and community-led leadership.</w:t>
      </w:r>
    </w:p>
    <w:p w:rsidR="00000000" w:rsidDel="00000000" w:rsidP="00000000" w:rsidRDefault="00000000" w:rsidRPr="00000000" w14:paraId="0000000F">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Strategic Projects:</w:t>
      </w:r>
      <w:r w:rsidDel="00000000" w:rsidR="00000000" w:rsidRPr="00000000">
        <w:rPr>
          <w:rtl w:val="0"/>
        </w:rPr>
        <w:t xml:space="preserve"> Lead on specific strategic initiatives or sub-committees as agreed with the Chair, such as partnership development or fundraising.</w:t>
      </w:r>
    </w:p>
    <w:p w:rsidR="00000000" w:rsidDel="00000000" w:rsidP="00000000" w:rsidRDefault="00000000" w:rsidRPr="00000000" w14:paraId="00000010">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Trustee Mentorship:</w:t>
      </w:r>
      <w:r w:rsidDel="00000000" w:rsidR="00000000" w:rsidRPr="00000000">
        <w:rPr>
          <w:rtl w:val="0"/>
        </w:rPr>
        <w:t xml:space="preserve"> Support the Chair in the induction and development of new Board members, fostering a collaborative and inclusive culture.</w:t>
      </w:r>
    </w:p>
    <w:p w:rsidR="00000000" w:rsidDel="00000000" w:rsidP="00000000" w:rsidRDefault="00000000" w:rsidRPr="00000000" w14:paraId="00000011">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Community Advocacy:</w:t>
      </w:r>
      <w:r w:rsidDel="00000000" w:rsidR="00000000" w:rsidRPr="00000000">
        <w:rPr>
          <w:rtl w:val="0"/>
        </w:rPr>
        <w:t xml:space="preserve"> Act as a senior ambassador for the Hub, championing the "For the Community, by the Community" ethos to local residents and stakeholders.</w:t>
      </w:r>
    </w:p>
    <w:p w:rsidR="00000000" w:rsidDel="00000000" w:rsidP="00000000" w:rsidRDefault="00000000" w:rsidRPr="00000000" w14:paraId="00000012">
      <w:pPr>
        <w:numPr>
          <w:ilvl w:val="0"/>
          <w:numId w:val="2"/>
        </w:numPr>
        <w:spacing w:after="200" w:line="276" w:lineRule="auto"/>
        <w:ind w:left="720" w:hanging="360"/>
        <w:rPr>
          <w:rFonts w:ascii="Arial" w:cs="Arial" w:eastAsia="Arial" w:hAnsi="Arial"/>
          <w:sz w:val="22"/>
          <w:szCs w:val="22"/>
        </w:rPr>
      </w:pPr>
      <w:r w:rsidDel="00000000" w:rsidR="00000000" w:rsidRPr="00000000">
        <w:rPr>
          <w:b w:val="1"/>
          <w:bCs w:val="1"/>
          <w:rtl w:val="0"/>
        </w:rPr>
        <w:t xml:space="preserve">Performance &amp; Risk Oversight:</w:t>
      </w:r>
      <w:r w:rsidDel="00000000" w:rsidR="00000000" w:rsidRPr="00000000">
        <w:rPr>
          <w:rtl w:val="0"/>
        </w:rPr>
        <w:t xml:space="preserve"> Assist the Chair in reviewing the performance of executive leadership and overseeing the identification and mitigation of strategic risks.</w:t>
      </w:r>
    </w:p>
    <w:p w:rsidR="00000000" w:rsidDel="00000000" w:rsidP="00000000" w:rsidRDefault="00000000" w:rsidRPr="00000000" w14:paraId="00000013">
      <w:pPr>
        <w:spacing w:line="276" w:lineRule="auto"/>
        <w:rPr>
          <w:b w:val="1"/>
          <w:bCs w:val="1"/>
          <w:color w:val="000000"/>
          <w:sz w:val="26"/>
          <w:szCs w:val="26"/>
        </w:rPr>
      </w:pPr>
      <w:r w:rsidDel="00000000" w:rsidR="00000000" w:rsidRPr="00000000">
        <w:rPr>
          <w:b w:val="1"/>
          <w:bCs w:val="1"/>
          <w:rtl w:val="0"/>
        </w:rPr>
        <w:t xml:space="preserve">General Responsibilities:</w:t>
      </w:r>
      <w:r w:rsidDel="00000000" w:rsidR="00000000" w:rsidRPr="00000000">
        <w:rPr>
          <w:rtl w:val="0"/>
        </w:rPr>
      </w:r>
    </w:p>
    <w:p w:rsidR="00000000" w:rsidDel="00000000" w:rsidP="00000000" w:rsidRDefault="00000000" w:rsidRPr="00000000" w14:paraId="00000014">
      <w:pPr>
        <w:numPr>
          <w:ilvl w:val="0"/>
          <w:numId w:val="1"/>
        </w:numPr>
        <w:spacing w:after="200" w:line="276" w:lineRule="auto"/>
        <w:ind w:left="720" w:hanging="360"/>
        <w:rPr/>
      </w:pPr>
      <w:r w:rsidDel="00000000" w:rsidR="00000000" w:rsidRPr="00000000">
        <w:rPr>
          <w:rtl w:val="0"/>
        </w:rPr>
        <w:t xml:space="preserve">Positively represent The Hub @ Toothill in all interactions and communications.</w:t>
      </w:r>
    </w:p>
    <w:p w:rsidR="00000000" w:rsidDel="00000000" w:rsidP="00000000" w:rsidRDefault="00000000" w:rsidRPr="00000000" w14:paraId="00000015">
      <w:pPr>
        <w:numPr>
          <w:ilvl w:val="0"/>
          <w:numId w:val="1"/>
        </w:numPr>
        <w:spacing w:after="200" w:before="0" w:line="276" w:lineRule="auto"/>
        <w:ind w:left="720" w:hanging="360"/>
        <w:rPr/>
      </w:pPr>
      <w:r w:rsidDel="00000000" w:rsidR="00000000" w:rsidRPr="00000000">
        <w:rPr>
          <w:rtl w:val="0"/>
        </w:rPr>
        <w:t xml:space="preserve">Commit to continuous learning and development to support the role and stay updated on governance best practices.</w:t>
      </w:r>
    </w:p>
    <w:p w:rsidR="00000000" w:rsidDel="00000000" w:rsidP="00000000" w:rsidRDefault="00000000" w:rsidRPr="00000000" w14:paraId="00000016">
      <w:pPr>
        <w:numPr>
          <w:ilvl w:val="0"/>
          <w:numId w:val="1"/>
        </w:numPr>
        <w:spacing w:after="200" w:line="276" w:lineRule="auto"/>
        <w:ind w:left="720" w:hanging="360"/>
        <w:rPr/>
      </w:pPr>
      <w:r w:rsidDel="00000000" w:rsidR="00000000" w:rsidRPr="00000000">
        <w:rPr>
          <w:rtl w:val="0"/>
        </w:rPr>
        <w:t xml:space="preserve">Undertake any other reasonable tasks as required to support the Hub’s operational success and strategic growth.</w:t>
      </w:r>
    </w:p>
    <w:p w:rsidR="00000000" w:rsidDel="00000000" w:rsidP="00000000" w:rsidRDefault="00000000" w:rsidRPr="00000000" w14:paraId="00000017">
      <w:pPr>
        <w:pStyle w:val="Heading3"/>
        <w:keepNext w:val="0"/>
        <w:keepLines w:val="0"/>
        <w:spacing w:before="280" w:line="276" w:lineRule="auto"/>
        <w:rPr>
          <w:b w:val="1"/>
          <w:bCs w:val="1"/>
          <w:color w:val="000000"/>
          <w:sz w:val="21"/>
          <w:szCs w:val="21"/>
        </w:rPr>
      </w:pPr>
      <w:bookmarkStart w:colFirst="0" w:colLast="0" w:name="_heading=h.yqw3te2cbif3" w:id="0"/>
      <w:bookmarkEnd w:id="0"/>
      <w:r w:rsidDel="00000000" w:rsidR="00000000" w:rsidRPr="00000000">
        <w:rPr>
          <w:b w:val="1"/>
          <w:bCs w:val="1"/>
          <w:color w:val="000000"/>
          <w:sz w:val="21"/>
          <w:szCs w:val="21"/>
          <w:rtl w:val="0"/>
        </w:rPr>
        <w:t xml:space="preserve">Conflict of Interest</w:t>
      </w:r>
    </w:p>
    <w:p w:rsidR="00000000" w:rsidDel="00000000" w:rsidP="00000000" w:rsidRDefault="00000000" w:rsidRPr="00000000" w14:paraId="00000018">
      <w:pPr>
        <w:spacing w:line="276" w:lineRule="auto"/>
        <w:rPr/>
      </w:pPr>
      <w:r w:rsidDel="00000000" w:rsidR="00000000" w:rsidRPr="00000000">
        <w:rPr>
          <w:rtl w:val="0"/>
        </w:rPr>
        <w:t xml:space="preserve">As a Director of The Hub @ Toothill CIC, you are required to act in the best interests of the organisation and the community it serves. You must declare any personal, professional, or financial interests that could conflict with the Hub’s activities or decision-making. All Directors are required to sign a Declaration of Interests form upon appointment and update it annually or whenever a potential conflict arises.</w:t>
      </w:r>
    </w:p>
    <w:p w:rsidR="00000000" w:rsidDel="00000000" w:rsidP="00000000" w:rsidRDefault="00000000" w:rsidRPr="00000000" w14:paraId="00000019">
      <w:pPr>
        <w:spacing w:before="200" w:lineRule="auto"/>
        <w:rPr>
          <w:b w:val="1"/>
          <w:bCs w:val="1"/>
        </w:rPr>
      </w:pPr>
      <w:r w:rsidDel="00000000" w:rsidR="00000000" w:rsidRPr="00000000">
        <w:rPr>
          <w:rFonts w:ascii="Montserrat" w:cs="Montserrat" w:eastAsia="Montserrat" w:hAnsi="Montserrat"/>
          <w:b w:val="1"/>
          <w:bCs w:val="1"/>
          <w:color w:val="000000"/>
          <w:sz w:val="21"/>
          <w:szCs w:val="21"/>
          <w:rtl w:val="0"/>
        </w:rPr>
        <w:t xml:space="preserve">Person specification:</w:t>
      </w:r>
      <w:r w:rsidDel="00000000" w:rsidR="00000000" w:rsidRPr="00000000">
        <w:rPr>
          <w:rtl w:val="0"/>
        </w:rPr>
      </w:r>
    </w:p>
    <w:tbl>
      <w:tblPr>
        <w:tblStyle w:val="Table1"/>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35"/>
        <w:gridCol w:w="9150"/>
        <w:tblGridChange w:id="0">
          <w:tblGrid>
            <w:gridCol w:w="1635"/>
            <w:gridCol w:w="9150"/>
          </w:tblGrid>
        </w:tblGridChange>
      </w:tblGrid>
      <w:tr>
        <w:trPr>
          <w:cantSplit w:val="0"/>
          <w:trHeight w:val="436.98" w:hRule="atLeast"/>
          <w:tblHeader w:val="0"/>
        </w:trPr>
        <w:tc>
          <w:tcPr>
            <w:vMerge w:val="restart"/>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1A">
            <w:pPr>
              <w:spacing w:before="0" w:lineRule="auto"/>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Relevant experience</w:t>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Proven leadership experience, ideally within a VCSE (Voluntary, Community or Social Enterprise) organisation setting.</w:t>
            </w:r>
          </w:p>
        </w:tc>
      </w:tr>
      <w:tr>
        <w:trPr>
          <w:cantSplit w:val="0"/>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1D">
            <w:pPr>
              <w:spacing w:before="0" w:lineRule="auto"/>
              <w:rPr/>
            </w:pPr>
            <w:r w:rsidDel="00000000" w:rsidR="00000000" w:rsidRPr="00000000">
              <w:rPr>
                <w:rtl w:val="0"/>
              </w:rPr>
              <w:t xml:space="preserve">Experience of contributing to strategic decision-making and governance.</w:t>
            </w:r>
          </w:p>
        </w:tc>
      </w:tr>
      <w:tr>
        <w:trPr>
          <w:cantSplit w:val="0"/>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1F">
            <w:pPr>
              <w:spacing w:before="0" w:lineRule="auto"/>
              <w:rPr/>
            </w:pPr>
            <w:r w:rsidDel="00000000" w:rsidR="00000000" w:rsidRPr="00000000">
              <w:rPr>
                <w:rtl w:val="0"/>
              </w:rPr>
              <w:t xml:space="preserve">Experience of working collaboratively with senior stakeholders or partners.</w:t>
            </w:r>
          </w:p>
        </w:tc>
      </w:tr>
      <w:tr>
        <w:trPr>
          <w:cantSplit w:val="0"/>
          <w:tblHeader w:val="0"/>
        </w:trPr>
        <w:tc>
          <w:tcPr>
            <w:vMerge w:val="restart"/>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0">
            <w:pPr>
              <w:spacing w:before="0" w:lineRule="auto"/>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Skills</w:t>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Strong leadership skills with the ability to facilitate and chair meetings effectively.</w:t>
            </w:r>
          </w:p>
        </w:tc>
      </w:tr>
      <w:tr>
        <w:trPr>
          <w:cantSplit w:val="0"/>
          <w:trHeight w:val="375" w:hRule="atLeast"/>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Excellent interpersonal and communication skills.</w:t>
            </w:r>
          </w:p>
        </w:tc>
      </w:tr>
      <w:tr>
        <w:trPr>
          <w:cantSplit w:val="0"/>
          <w:trHeight w:val="120" w:hRule="atLeast"/>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Ability to interpret complex issues and provide clear strategic guidance.</w:t>
            </w:r>
          </w:p>
        </w:tc>
      </w:tr>
      <w:tr>
        <w:trPr>
          <w:cantSplit w:val="0"/>
          <w:trHeight w:val="75" w:hRule="atLeast"/>
          <w:tblHeader w:val="0"/>
        </w:trPr>
        <w:tc>
          <w:tcPr>
            <w:vMerge w:val="restart"/>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6">
            <w:pPr>
              <w:spacing w:before="0" w:lineRule="auto"/>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Attributes</w:t>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Deep commitment to the Hub’s mission, community-led approach, and social impact.</w:t>
            </w:r>
          </w:p>
        </w:tc>
      </w:tr>
      <w:tr>
        <w:trPr>
          <w:cantSplit w:val="0"/>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Integrity, impartiality, and sound judgement .</w:t>
            </w:r>
          </w:p>
        </w:tc>
      </w:tr>
      <w:tr>
        <w:trPr>
          <w:cantSplit w:val="0"/>
          <w:trHeight w:val="210" w:hRule="atLeast"/>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Approachable, inclusive, and collaborative in nature.</w:t>
            </w:r>
          </w:p>
        </w:tc>
      </w:tr>
      <w:tr>
        <w:trPr>
          <w:cantSplit w:val="0"/>
          <w:trHeight w:val="382.8" w:hRule="atLeast"/>
          <w:tblHeader w:val="0"/>
        </w:trPr>
        <w:tc>
          <w:tcPr>
            <w:vMerge w:val="restart"/>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C">
            <w:pPr>
              <w:spacing w:before="0" w:lineRule="auto"/>
              <w:rPr>
                <w:rFonts w:ascii="Montserrat SemiBold" w:cs="Montserrat SemiBold" w:eastAsia="Montserrat SemiBold" w:hAnsi="Montserrat SemiBold"/>
              </w:rPr>
            </w:pPr>
            <w:r w:rsidDel="00000000" w:rsidR="00000000" w:rsidRPr="00000000">
              <w:rPr>
                <w:rFonts w:ascii="Montserrat SemiBold" w:cs="Montserrat SemiBold" w:eastAsia="Montserrat SemiBold" w:hAnsi="Montserrat SemiBold"/>
                <w:rtl w:val="0"/>
              </w:rPr>
              <w:t xml:space="preserve">Additional</w:t>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 strong personal alignment with driving social impact and local regeneration within the Swindon area.</w:t>
            </w:r>
          </w:p>
        </w:tc>
      </w:tr>
      <w:tr>
        <w:trPr>
          <w:cantSplit w:val="0"/>
          <w:trHeight w:val="382.8" w:hRule="atLeast"/>
          <w:tblHeader w:val="0"/>
        </w:trPr>
        <w:tc>
          <w:tcPr>
            <w:vMerge w:val="continue"/>
            <w:tcBorders>
              <w:top w:color="999999" w:space="0" w:sz="4" w:val="single"/>
              <w:left w:color="999999" w:space="0" w:sz="4" w:val="single"/>
              <w:bottom w:color="999999" w:space="0" w:sz="4" w:val="single"/>
              <w:right w:color="999999" w:space="0" w:sz="4" w:val="single"/>
            </w:tcBorders>
            <w:shd w:fill="f3f3f3" w:val="clear"/>
            <w:tcMar>
              <w:top w:w="86.4" w:type="dxa"/>
              <w:left w:w="86.4" w:type="dxa"/>
              <w:bottom w:w="86.4" w:type="dxa"/>
              <w:right w:w="86.4" w:type="dxa"/>
            </w:tcMar>
          </w:tcPr>
          <w:p w:rsidR="00000000" w:rsidDel="00000000" w:rsidP="00000000" w:rsidRDefault="00000000" w:rsidRPr="00000000" w14:paraId="0000002E">
            <w:pPr>
              <w:spacing w:after="0" w:before="0" w:line="240" w:lineRule="auto"/>
              <w:ind w:left="0" w:firstLine="0"/>
              <w:rPr>
                <w:rFonts w:ascii="Montserrat SemiBold" w:cs="Montserrat SemiBold" w:eastAsia="Montserrat SemiBold" w:hAnsi="Montserrat SemiBold"/>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tcMar>
              <w:top w:w="86.4" w:type="dxa"/>
              <w:left w:w="86.4" w:type="dxa"/>
              <w:bottom w:w="86.4" w:type="dxa"/>
              <w:right w:w="86.4" w:type="dxa"/>
            </w:tcM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Desirable:</w:t>
            </w:r>
            <w:r w:rsidDel="00000000" w:rsidR="00000000" w:rsidRPr="00000000">
              <w:rPr>
                <w:rtl w:val="0"/>
              </w:rPr>
              <w:t xml:space="preserve"> Ability to attend and represent the Hub at the Swindon Borough Shared Comms Network.</w:t>
            </w:r>
          </w:p>
        </w:tc>
      </w:tr>
    </w:tbl>
    <w:p w:rsidR="00000000" w:rsidDel="00000000" w:rsidP="00000000" w:rsidRDefault="00000000" w:rsidRPr="00000000" w14:paraId="00000030">
      <w:pPr>
        <w:spacing w:before="240" w:lineRule="auto"/>
        <w:rPr>
          <w:b w:val="1"/>
          <w:bCs w:val="1"/>
          <w:sz w:val="19"/>
          <w:szCs w:val="19"/>
          <w:highlight w:val="yellow"/>
        </w:rPr>
      </w:pPr>
      <w:r w:rsidDel="00000000" w:rsidR="00000000" w:rsidRPr="00000000">
        <w:rPr>
          <w:rFonts w:ascii="Montserrat" w:cs="Montserrat" w:eastAsia="Montserrat" w:hAnsi="Montserrat"/>
          <w:b w:val="1"/>
          <w:bCs w:val="1"/>
          <w:i w:val="1"/>
          <w:iCs w:val="1"/>
          <w:color w:val="000000"/>
          <w:sz w:val="19"/>
          <w:szCs w:val="19"/>
          <w:rtl w:val="0"/>
        </w:rPr>
        <w:t xml:space="preserve">Flexibility: </w:t>
      </w:r>
      <w:r w:rsidDel="00000000" w:rsidR="00000000" w:rsidRPr="00000000">
        <w:rPr>
          <w:rFonts w:ascii="Montserrat" w:cs="Montserrat" w:eastAsia="Montserrat" w:hAnsi="Montserrat"/>
          <w:i w:val="1"/>
          <w:iCs w:val="1"/>
          <w:color w:val="000000"/>
          <w:sz w:val="19"/>
          <w:szCs w:val="19"/>
          <w:rtl w:val="0"/>
        </w:rPr>
        <w:t xml:space="preserve">T</w:t>
      </w:r>
      <w:r w:rsidDel="00000000" w:rsidR="00000000" w:rsidRPr="00000000">
        <w:rPr>
          <w:i w:val="1"/>
          <w:iCs w:val="1"/>
          <w:sz w:val="19"/>
          <w:szCs w:val="19"/>
          <w:rtl w:val="0"/>
        </w:rPr>
        <w:t xml:space="preserve">his job description is indicative of the range of current duties and responsibilities for the post; it is not comprehensive. It is inevitable that the duties will change to reflect organisational change, particularly as the Hub transitions to its full 2026 operational phase. All changes will be discussed with the post holder.</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720" w:left="720" w:right="720" w:header="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4914900</wp:posOffset>
          </wp:positionH>
          <wp:positionV relativeFrom="paragraph">
            <wp:posOffset>114300</wp:posOffset>
          </wp:positionV>
          <wp:extent cx="1843088" cy="719052"/>
          <wp:effectExtent b="0" l="0" r="0" t="0"/>
          <wp:wrapNone/>
          <wp:docPr id="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3088" cy="7190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1"/>
        <w:szCs w:val="21"/>
        <w:lang w:val="en_GB"/>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Revision">
    <w:name w:val="Revision"/>
    <w:hidden w:val="1"/>
    <w:uiPriority w:val="99"/>
    <w:semiHidden w:val="1"/>
    <w:rsid w:val="00357812"/>
    <w:pPr>
      <w:spacing w:after="0"/>
    </w:pPr>
  </w:style>
  <w:style w:type="character" w:styleId="CommentReference">
    <w:name w:val="annotation reference"/>
    <w:basedOn w:val="DefaultParagraphFont"/>
    <w:uiPriority w:val="99"/>
    <w:semiHidden w:val="1"/>
    <w:unhideWhenUsed w:val="1"/>
    <w:rsid w:val="00357812"/>
    <w:rPr>
      <w:sz w:val="16"/>
      <w:szCs w:val="16"/>
    </w:rPr>
  </w:style>
  <w:style w:type="paragraph" w:styleId="CommentText">
    <w:name w:val="annotation text"/>
    <w:basedOn w:val="Normal"/>
    <w:link w:val="CommentTextChar"/>
    <w:uiPriority w:val="99"/>
    <w:unhideWhenUsed w:val="1"/>
    <w:rsid w:val="00357812"/>
    <w:rPr>
      <w:sz w:val="20"/>
      <w:szCs w:val="20"/>
    </w:rPr>
  </w:style>
  <w:style w:type="character" w:styleId="CommentTextChar" w:customStyle="1">
    <w:name w:val="Comment Text Char"/>
    <w:basedOn w:val="DefaultParagraphFont"/>
    <w:link w:val="CommentText"/>
    <w:uiPriority w:val="99"/>
    <w:rsid w:val="00357812"/>
    <w:rPr>
      <w:sz w:val="20"/>
      <w:szCs w:val="20"/>
    </w:rPr>
  </w:style>
  <w:style w:type="paragraph" w:styleId="CommentSubject">
    <w:name w:val="annotation subject"/>
    <w:basedOn w:val="CommentText"/>
    <w:next w:val="CommentText"/>
    <w:link w:val="CommentSubjectChar"/>
    <w:uiPriority w:val="99"/>
    <w:semiHidden w:val="1"/>
    <w:unhideWhenUsed w:val="1"/>
    <w:rsid w:val="00357812"/>
    <w:rPr>
      <w:b w:val="1"/>
      <w:bCs w:val="1"/>
    </w:rPr>
  </w:style>
  <w:style w:type="character" w:styleId="CommentSubjectChar" w:customStyle="1">
    <w:name w:val="Comment Subject Char"/>
    <w:basedOn w:val="CommentTextChar"/>
    <w:link w:val="CommentSubject"/>
    <w:uiPriority w:val="99"/>
    <w:semiHidden w:val="1"/>
    <w:rsid w:val="00357812"/>
    <w:rPr>
      <w:b w:val="1"/>
      <w:bCs w:val="1"/>
      <w:sz w:val="20"/>
      <w:szCs w:val="20"/>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TableGrid">
    <w:name w:val="Table Grid"/>
    <w:basedOn w:val="TableNormal"/>
    <w:uiPriority w:val="39"/>
    <w:rsid w:val="009B2258"/>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855D9E"/>
    <w:pPr>
      <w:ind w:left="720"/>
      <w:contextualSpacing w:val="1"/>
    </w:p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W9H5xAvFEIY7hucg6ywssLYHw==">CgMxLjAyDmgueXF3M3RlMmNiaWYzOAByITFoNWEzVnl6bFR5cGszdGZkOFVyYm1hTloxRVZXd1dSRQ==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2025-03-26T20:44:00Z</dcterms:created>
  <dc:creator>Megan Falck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0x010100853B4A8761B0E44DA4C2581E2D42FE3E</vt:lpwstr>
  </property>
  <property fmtid="{D5CDD505-2E9C-101B-9397-08002B2CF9AE}" pid="3" name="GrammarlyDocumentId">
    <vt:lpwstr>643b712211201a9d2752a8b54859a627ac101bbef306d130da7c20255332f738</vt:lpwstr>
  </property>
</Properties>
</file>